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200"/>
        <w:jc w:val="center"/>
      </w:pPr>
      <w:r>
        <w:rPr>
          <w:rFonts w:ascii="Arial" w:cs="Arial" w:eastAsia="Arial" w:hAnsi="Arial"/>
          <w:b/>
          <w:bCs/>
          <w:color w:val="0F2B46"/>
          <w:sz w:val="52"/>
          <w:szCs w:val="52"/>
        </w:rPr>
        <w:t xml:space="preserve">POLÍTICA DE DATOS Y ÉTICA</w:t>
      </w:r>
    </w:p>
    <w:p>
      <w:pPr>
        <w:spacing w:after="60"/>
        <w:jc w:val="center"/>
      </w:pPr>
      <w:r>
        <w:rPr>
          <w:rFonts w:ascii="Arial" w:cs="Arial" w:eastAsia="Arial" w:hAnsi="Arial"/>
          <w:b/>
          <w:bCs/>
          <w:color w:val="1A6B8A"/>
          <w:sz w:val="56"/>
          <w:szCs w:val="56"/>
        </w:rPr>
        <w:t xml:space="preserve">NOE</w:t>
      </w:r>
    </w:p>
    <w:p>
      <w:pPr>
        <w:pBdr>
          <w:bottom w:val="single" w:color="E8792B" w:sz="6" w:space="8"/>
        </w:pBdr>
        <w:spacing w:after="100"/>
        <w:jc w:val="center"/>
      </w:pPr>
      <w:r>
        <w:rPr>
          <w:rFonts w:ascii="Arial" w:cs="Arial" w:eastAsia="Arial" w:hAnsi="Arial"/>
          <w:i/>
          <w:iCs/>
          <w:color w:val="0F2B46"/>
          <w:sz w:val="32"/>
          <w:szCs w:val="32"/>
        </w:rPr>
        <w:t xml:space="preserve">Network Opinion Engine</w:t>
      </w:r>
    </w:p>
    <w:p>
      <w:pPr>
        <w:spacing w:after="300"/>
      </w:pPr>
    </w:p>
    <w:p>
      <w:pPr>
        <w:spacing w:after="80"/>
        <w:jc w:val="center"/>
      </w:pPr>
      <w:r>
        <w:rPr>
          <w:rFonts w:ascii="Arial" w:cs="Arial" w:eastAsia="Arial" w:hAnsi="Arial"/>
          <w:color w:val="1A1A2E"/>
          <w:sz w:val="26"/>
          <w:szCs w:val="26"/>
        </w:rPr>
        <w:t xml:space="preserve">Marco Regulatorio, Principios Éticos y Líneas Rojas</w:t>
      </w:r>
    </w:p>
    <w:p>
      <w:pPr>
        <w:spacing w:after="80"/>
        <w:jc w:val="center"/>
      </w:pPr>
      <w:r>
        <w:rPr>
          <w:rFonts w:ascii="Arial" w:cs="Arial" w:eastAsia="Arial" w:hAnsi="Arial"/>
          <w:color w:val="1A1A2E"/>
          <w:sz w:val="26"/>
          <w:szCs w:val="26"/>
        </w:rPr>
        <w:t xml:space="preserve">para el Tratamiento de Datos de Redes Sociales</w:t>
      </w:r>
    </w:p>
    <w:p>
      <w:pPr>
        <w:spacing w:after="600"/>
      </w:pPr>
    </w:p>
    <w:p>
      <w:pPr>
        <w:spacing w:after="80"/>
        <w:jc w:val="center"/>
      </w:pPr>
      <w:r>
        <w:rPr>
          <w:rFonts w:ascii="Arial" w:cs="Arial" w:eastAsia="Arial" w:hAnsi="Arial"/>
          <w:color w:val="1A6B8A"/>
          <w:sz w:val="22"/>
          <w:szCs w:val="22"/>
        </w:rPr>
        <w:t xml:space="preserve">Versión 1.0 — Abril 2026</w:t>
      </w:r>
    </w:p>
    <w:p>
      <w:pPr>
        <w:spacing w:after="80"/>
        <w:jc w:val="center"/>
      </w:pPr>
      <w:r>
        <w:rPr>
          <w:rFonts w:ascii="Arial" w:cs="Arial" w:eastAsia="Arial" w:hAnsi="Arial"/>
          <w:color w:val="1A1A2E"/>
          <w:sz w:val="22"/>
          <w:szCs w:val="22"/>
        </w:rPr>
        <w:t xml:space="preserve">Aprobado por: Jhon A. — CEO &amp; Fundador</w:t>
      </w:r>
    </w:p>
    <w:p>
      <w:pPr>
        <w:jc w:val="center"/>
      </w:pPr>
      <w:r>
        <w:rPr>
          <w:rFonts w:ascii="Arial" w:cs="Arial" w:eastAsia="Arial" w:hAnsi="Arial"/>
          <w:b/>
          <w:bCs/>
          <w:color w:val="E8792B"/>
          <w:sz w:val="18"/>
          <w:szCs w:val="18"/>
        </w:rPr>
        <w:t xml:space="preserve">DOCUMENTO VINCULANTE PARA TODO EL EQUIPO Y CLIENTES</w:t>
      </w:r>
    </w:p>
    <w:p>
      <w:r>
        <w:br w:type="page"/>
      </w:r>
    </w:p>
    <w:p>
      <w:pPr>
        <w:sectPr>
          <w:pgSz w:w="12240" w:h="15840" w:orient="portrait"/>
          <w:pgMar w:top="1440" w:right="1440" w:bottom="1440" w:left="1440" w:header="708" w:footer="708" w:gutter="0"/>
          <w:pgNumType/>
          <w:docGrid w:linePitch="360"/>
        </w:sectPr>
      </w:pPr>
    </w:p>
    <w:p>
      <w:pPr>
        <w:pStyle w:val="Heading1"/>
        <w:spacing w:after="200" w:before="360"/>
      </w:pPr>
      <w:r>
        <w:rPr>
          <w:rFonts w:ascii="Arial" w:cs="Arial" w:eastAsia="Arial" w:hAnsi="Arial"/>
          <w:b/>
          <w:bCs/>
          <w:color w:val="0F2B46"/>
          <w:sz w:val="36"/>
          <w:szCs w:val="36"/>
        </w:rPr>
        <w:t xml:space="preserve">TABLA DE CONTENIDO</w:t>
      </w:r>
    </w:p>
    <w:sdt>
      <w:sdtPr>
        <w:alias w:val="Contenido"/>
      </w:sdtPr>
      <w:sdtContent>
        <w:p>
          <w:r>
            <w:fldChar w:fldCharType="begin" w:dirty="true"/>
            <w:instrText xml:space="preserve">TOC \h \o "1-3"</w:instrText>
            <w:fldChar w:fldCharType="separate"/>
          </w:r>
        </w:p>
        <w:p>
          <w:r>
            <w:fldChar w:fldCharType="end"/>
          </w:r>
        </w:p>
      </w:sdtContent>
    </w:sdt>
    <w:p>
      <w:r>
        <w:br w:type="page"/>
      </w:r>
    </w:p>
    <w:p>
      <w:pPr>
        <w:pStyle w:val="Heading1"/>
        <w:spacing w:after="200" w:before="360"/>
      </w:pPr>
      <w:r>
        <w:rPr>
          <w:rFonts w:ascii="Arial" w:cs="Arial" w:eastAsia="Arial" w:hAnsi="Arial"/>
          <w:b/>
          <w:bCs/>
          <w:color w:val="0F2B46"/>
          <w:sz w:val="36"/>
          <w:szCs w:val="36"/>
        </w:rPr>
        <w:t xml:space="preserve">1. PROPÓSITO DE ESTE DOCUMENTO</w:t>
      </w:r>
    </w:p>
    <w:p>
      <w:pPr>
        <w:spacing w:after="120"/>
        <w:jc w:val="both"/>
      </w:pPr>
      <w:r>
        <w:rPr>
          <w:rFonts w:ascii="Arial" w:cs="Arial" w:eastAsia="Arial" w:hAnsi="Arial"/>
          <w:b w:val="false"/>
          <w:bCs w:val="false"/>
          <w:i w:val="false"/>
          <w:iCs w:val="false"/>
          <w:color w:val="1A1A2E"/>
          <w:sz w:val="22"/>
          <w:szCs w:val="22"/>
        </w:rPr>
        <w:t xml:space="preserve">Este documento establece los principios, límites y obligaciones que rigen toda actividad de recolección, procesamiento, almacenamiento y entrega de datos en NOE (Network Opinion Engine). Es de cumplimiento obligatorio para todo el equipo, colaboradores, freelancers y clientes.</w:t>
      </w:r>
    </w:p>
    <w:p>
      <w:pPr>
        <w:spacing w:after="120"/>
        <w:jc w:val="both"/>
      </w:pPr>
      <w:r>
        <w:rPr>
          <w:rFonts w:ascii="Arial" w:cs="Arial" w:eastAsia="Arial" w:hAnsi="Arial"/>
          <w:b w:val="false"/>
          <w:bCs w:val="false"/>
          <w:i w:val="false"/>
          <w:iCs w:val="false"/>
          <w:color w:val="1A1A2E"/>
          <w:sz w:val="22"/>
          <w:szCs w:val="22"/>
        </w:rPr>
        <w:t xml:space="preserve">Su objetivo es triple: (1) garantizar el cumplimiento de la legislación colombiana de protección de datos, (2) establecer estándares éticos que superen los mínimos legales, y (3) generar confianza en clientes, medios y sociedad sobre las prácticas de NOE.</w:t>
      </w:r>
    </w:p>
    <w:p>
      <w:pPr>
        <w:spacing w:after="120"/>
        <w:jc w:val="both"/>
      </w:pPr>
      <w:r>
        <w:rPr>
          <w:rFonts w:ascii="Arial" w:cs="Arial" w:eastAsia="Arial" w:hAnsi="Arial"/>
          <w:b w:val="false"/>
          <w:bCs w:val="false"/>
          <w:i/>
          <w:iCs/>
          <w:color w:val="1A1A2E"/>
          <w:sz w:val="22"/>
          <w:szCs w:val="22"/>
        </w:rPr>
        <w:t xml:space="preserve">NOE entiende que opera en un sector sensible — la inteligencia de opinión pública política — y asume la responsabilidad de demostrar que se puede hacer analítica avanzada de forma rigurosamente ética.</w:t>
      </w:r>
    </w:p>
    <w:p>
      <w:r>
        <w:br w:type="page"/>
      </w:r>
    </w:p>
    <w:p>
      <w:pPr>
        <w:pStyle w:val="Heading1"/>
        <w:spacing w:after="200" w:before="360"/>
      </w:pPr>
      <w:r>
        <w:rPr>
          <w:rFonts w:ascii="Arial" w:cs="Arial" w:eastAsia="Arial" w:hAnsi="Arial"/>
          <w:b/>
          <w:bCs/>
          <w:color w:val="0F2B46"/>
          <w:sz w:val="36"/>
          <w:szCs w:val="36"/>
        </w:rPr>
        <w:t xml:space="preserve">2. MARCO LEGAL APLICABLE</w:t>
      </w:r>
    </w:p>
    <w:p>
      <w:pPr>
        <w:pStyle w:val="Heading2"/>
        <w:spacing w:after="160" w:before="280"/>
      </w:pPr>
      <w:r>
        <w:rPr>
          <w:rFonts w:ascii="Arial" w:cs="Arial" w:eastAsia="Arial" w:hAnsi="Arial"/>
          <w:b/>
          <w:bCs/>
          <w:color w:val="1A6B8A"/>
          <w:sz w:val="28"/>
          <w:szCs w:val="28"/>
        </w:rPr>
        <w:t xml:space="preserve">2.1 Legislación Colombiana</w:t>
      </w:r>
    </w:p>
    <w:p>
      <w:pPr>
        <w:spacing w:after="120"/>
        <w:jc w:val="both"/>
      </w:pPr>
      <w:r>
        <w:rPr>
          <w:rFonts w:ascii="Arial" w:cs="Arial" w:eastAsia="Arial" w:hAnsi="Arial"/>
          <w:b w:val="false"/>
          <w:bCs w:val="false"/>
          <w:i w:val="false"/>
          <w:iCs w:val="false"/>
          <w:color w:val="1A1A2E"/>
          <w:sz w:val="22"/>
          <w:szCs w:val="22"/>
        </w:rPr>
        <w:t xml:space="preserve">Ley Estatutaria 1581 de 2012: Disposiciones generales para la protección de datos personales. Establece los principios de legalidad, finalidad, libertad, veracidad, transparencia, acceso, circulación restringida, seguridad y confidencialidad.</w:t>
      </w:r>
    </w:p>
    <w:p>
      <w:pPr>
        <w:spacing w:after="120"/>
        <w:jc w:val="both"/>
      </w:pPr>
      <w:r>
        <w:rPr>
          <w:rFonts w:ascii="Arial" w:cs="Arial" w:eastAsia="Arial" w:hAnsi="Arial"/>
          <w:b w:val="false"/>
          <w:bCs w:val="false"/>
          <w:i w:val="false"/>
          <w:iCs w:val="false"/>
          <w:color w:val="1A1A2E"/>
          <w:sz w:val="22"/>
          <w:szCs w:val="22"/>
        </w:rPr>
        <w:t xml:space="preserve">Decreto 1377 de 2013: Reglamenta parcialmente la Ley 1581, define procedimientos de autorización, políticas de tratamiento y transferencia internacional de datos.</w:t>
      </w:r>
    </w:p>
    <w:p>
      <w:pPr>
        <w:spacing w:after="120"/>
        <w:jc w:val="both"/>
      </w:pPr>
      <w:r>
        <w:rPr>
          <w:rFonts w:ascii="Arial" w:cs="Arial" w:eastAsia="Arial" w:hAnsi="Arial"/>
          <w:b w:val="false"/>
          <w:bCs w:val="false"/>
          <w:i w:val="false"/>
          <w:iCs w:val="false"/>
          <w:color w:val="1A1A2E"/>
          <w:sz w:val="22"/>
          <w:szCs w:val="22"/>
        </w:rPr>
        <w:t xml:space="preserve">Ley Estatutaria 1712 de 2014: Ley de Transparencia y del Derecho de Acceso a la Información Pública Nacional. Relevante porque los datos de figuras públicas y entidades gubernamentales en redes sociales tienen un régimen diferente al de ciudadanos privados.</w:t>
      </w:r>
    </w:p>
    <w:p>
      <w:pPr>
        <w:spacing w:after="120"/>
        <w:jc w:val="both"/>
      </w:pPr>
      <w:r>
        <w:rPr>
          <w:rFonts w:ascii="Arial" w:cs="Arial" w:eastAsia="Arial" w:hAnsi="Arial"/>
          <w:b w:val="false"/>
          <w:bCs w:val="false"/>
          <w:i w:val="false"/>
          <w:iCs w:val="false"/>
          <w:color w:val="1A1A2E"/>
          <w:sz w:val="22"/>
          <w:szCs w:val="22"/>
        </w:rPr>
        <w:t xml:space="preserve">Ley 1266 de 2008: Habeas Data financiero — no aplica directamente pero establece precedentes sobre el derecho de los titulares a conocer, actualizar y rectificar información.</w:t>
      </w:r>
    </w:p>
    <w:p>
      <w:pPr>
        <w:spacing w:after="120"/>
        <w:jc w:val="both"/>
      </w:pPr>
      <w:r>
        <w:rPr>
          <w:rFonts w:ascii="Arial" w:cs="Arial" w:eastAsia="Arial" w:hAnsi="Arial"/>
          <w:b w:val="false"/>
          <w:bCs w:val="false"/>
          <w:i w:val="false"/>
          <w:iCs w:val="false"/>
          <w:color w:val="1A1A2E"/>
          <w:sz w:val="22"/>
          <w:szCs w:val="22"/>
        </w:rPr>
        <w:t xml:space="preserve">Código Penal Colombiano, Art. 269F: Violación de datos personales. Pena de 48-96 meses de prisión por obtener, compilar, sustraer, ofrecer, vender, intercambiar, enviar, comprar, interceptar, divulgar, modificar o emplear datos personales sin autorización.</w:t>
      </w:r>
    </w:p>
    <w:p>
      <w:pPr>
        <w:pStyle w:val="Heading2"/>
        <w:spacing w:after="160" w:before="280"/>
      </w:pPr>
      <w:r>
        <w:rPr>
          <w:rFonts w:ascii="Arial" w:cs="Arial" w:eastAsia="Arial" w:hAnsi="Arial"/>
          <w:b/>
          <w:bCs/>
          <w:color w:val="1A6B8A"/>
          <w:sz w:val="28"/>
          <w:szCs w:val="28"/>
        </w:rPr>
        <w:t xml:space="preserve">2.2 Hallazgo Legal Clave</w:t>
      </w:r>
    </w:p>
    <w:p>
      <w:pPr>
        <w:spacing w:after="120"/>
        <w:jc w:val="both"/>
      </w:pPr>
      <w:r>
        <w:rPr>
          <w:rFonts w:ascii="Arial" w:cs="Arial" w:eastAsia="Arial" w:hAnsi="Arial"/>
          <w:b w:val="false"/>
          <w:bCs w:val="false"/>
          <w:i w:val="false"/>
          <w:iCs w:val="false"/>
          <w:color w:val="1A1A2E"/>
          <w:sz w:val="22"/>
          <w:szCs w:val="22"/>
        </w:rPr>
        <w:t xml:space="preserve">La Universidad Externado de Colombia ha establecido que </w:t>
      </w:r>
      <w:r>
        <w:rPr>
          <w:rFonts w:ascii="Arial" w:cs="Arial" w:eastAsia="Arial" w:hAnsi="Arial"/>
          <w:b/>
          <w:bCs/>
          <w:i w:val="false"/>
          <w:iCs w:val="false"/>
          <w:color w:val="1A1A2E"/>
          <w:sz w:val="22"/>
          <w:szCs w:val="22"/>
        </w:rPr>
        <w:t xml:space="preserve">la Ley de Habeas Data (1581/2012) no regula datos de redes sociales alojados fuera de Colombia</w:t>
      </w:r>
      <w:r>
        <w:rPr>
          <w:rFonts w:ascii="Arial" w:cs="Arial" w:eastAsia="Arial" w:hAnsi="Arial"/>
          <w:b w:val="false"/>
          <w:bCs w:val="false"/>
          <w:i w:val="false"/>
          <w:iCs w:val="false"/>
          <w:color w:val="1A1A2E"/>
          <w:sz w:val="22"/>
          <w:szCs w:val="22"/>
        </w:rPr>
        <w:t xml:space="preserve"> (servidores de X, Meta, TikTok están en EE.UU.). Sin embargo, si NOE procesa esos datos en territorio colombiano para producir reportes sobre ciudadanos colombianos, los principios de la Ley 1581 sí aplican al tratamiento que NOE realiza.</w:t>
      </w:r>
    </w:p>
    <w:p>
      <w:pPr>
        <w:pStyle w:val="Heading2"/>
        <w:spacing w:after="160" w:before="280"/>
      </w:pPr>
      <w:r>
        <w:rPr>
          <w:rFonts w:ascii="Arial" w:cs="Arial" w:eastAsia="Arial" w:hAnsi="Arial"/>
          <w:b/>
          <w:bCs/>
          <w:color w:val="1A6B8A"/>
          <w:sz w:val="28"/>
          <w:szCs w:val="28"/>
        </w:rPr>
        <w:t xml:space="preserve">2.3 Términos de Servicio de las Plataformas</w:t>
      </w:r>
    </w:p>
    <w:p>
      <w:pPr>
        <w:spacing w:after="120"/>
        <w:jc w:val="both"/>
      </w:pPr>
      <w:r>
        <w:rPr>
          <w:rFonts w:ascii="Arial" w:cs="Arial" w:eastAsia="Arial" w:hAnsi="Arial"/>
          <w:b w:val="false"/>
          <w:bCs w:val="false"/>
          <w:i w:val="false"/>
          <w:iCs w:val="false"/>
          <w:color w:val="1A1A2E"/>
          <w:sz w:val="22"/>
          <w:szCs w:val="22"/>
        </w:rPr>
        <w:t xml:space="preserve">X (Twitter): Desde 2026, más de 1,000,000 de posts en 24 horas por medios automatizados sin permiso genera penalidad de $15,000 USD en daños liquidados. Sin embargo, X perdió su demanda contra Bright Data (2024) porque el tribunal determinó que el scraping de datos públicos sin login no es suficiente para reclamar.</w:t>
      </w:r>
    </w:p>
    <w:p>
      <w:pPr>
        <w:spacing w:after="120"/>
        <w:jc w:val="both"/>
      </w:pPr>
      <w:r>
        <w:rPr>
          <w:rFonts w:ascii="Arial" w:cs="Arial" w:eastAsia="Arial" w:hAnsi="Arial"/>
          <w:b w:val="false"/>
          <w:bCs w:val="false"/>
          <w:i w:val="false"/>
          <w:iCs w:val="false"/>
          <w:color w:val="1A1A2E"/>
          <w:sz w:val="22"/>
          <w:szCs w:val="22"/>
        </w:rPr>
        <w:t xml:space="preserve">Meta (Facebook/Instagram): Retiró su demanda contra Bright Data porque no pudieron probar acceso a datos detrás de login. Precedente: datos públicos accesibles sin autenticación tienen protección legal limitada.</w:t>
      </w:r>
    </w:p>
    <w:p>
      <w:pPr>
        <w:spacing w:after="120"/>
        <w:jc w:val="both"/>
      </w:pPr>
      <w:r>
        <w:rPr>
          <w:rFonts w:ascii="Arial" w:cs="Arial" w:eastAsia="Arial" w:hAnsi="Arial"/>
          <w:b w:val="false"/>
          <w:bCs w:val="false"/>
          <w:i w:val="false"/>
          <w:iCs w:val="false"/>
          <w:color w:val="1A1A2E"/>
          <w:sz w:val="22"/>
          <w:szCs w:val="22"/>
        </w:rPr>
        <w:t xml:space="preserve">Precedente hiQ vs LinkedIn (EE.UU.): Cortes federales establecieron que el scraping de datos públicamente accesibles no viola el Computer Fraud and Abuse Act.</w:t>
      </w:r>
    </w:p>
    <w:p>
      <w:pPr>
        <w:spacing w:after="120"/>
        <w:jc w:val="both"/>
      </w:pPr>
      <w:r>
        <w:rPr>
          <w:rFonts w:ascii="Arial" w:cs="Arial" w:eastAsia="Arial" w:hAnsi="Arial"/>
          <w:b/>
          <w:bCs/>
          <w:i w:val="false"/>
          <w:iCs w:val="false"/>
          <w:color w:val="1A1A2E"/>
          <w:sz w:val="22"/>
          <w:szCs w:val="22"/>
        </w:rPr>
        <w:t xml:space="preserve">Conclusión operativa para NOE: usar APIs oficiales siempre que existan; para scraping complementario, solo datos públicos sin login ni evasión de barreras técnicas.</w:t>
      </w:r>
    </w:p>
    <w:p>
      <w:r>
        <w:br w:type="page"/>
      </w:r>
    </w:p>
    <w:p>
      <w:pPr>
        <w:pStyle w:val="Heading1"/>
        <w:spacing w:after="200" w:before="360"/>
      </w:pPr>
      <w:r>
        <w:rPr>
          <w:rFonts w:ascii="Arial" w:cs="Arial" w:eastAsia="Arial" w:hAnsi="Arial"/>
          <w:b/>
          <w:bCs/>
          <w:color w:val="0F2B46"/>
          <w:sz w:val="36"/>
          <w:szCs w:val="36"/>
        </w:rPr>
        <w:t xml:space="preserve">3. PRINCIPIOS ÉTICOS DE NOE</w:t>
      </w:r>
    </w:p>
    <w:p>
      <w:pPr>
        <w:spacing w:after="120"/>
        <w:jc w:val="both"/>
      </w:pPr>
      <w:r>
        <w:rPr>
          <w:rFonts w:ascii="Arial" w:cs="Arial" w:eastAsia="Arial" w:hAnsi="Arial"/>
          <w:b w:val="false"/>
          <w:bCs w:val="false"/>
          <w:i w:val="false"/>
          <w:iCs w:val="false"/>
          <w:color w:val="1A1A2E"/>
          <w:sz w:val="22"/>
          <w:szCs w:val="22"/>
        </w:rPr>
        <w:t xml:space="preserve">NOE adopta siete principios éticos que van más allá del cumplimiento legal mínimo: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Principio</w:t>
            </w:r>
          </w:p>
        </w:tc>
        <w:tc>
          <w:tcPr>
            <w:tcW w:type="dxa" w:w="702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Compromiso</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bCs/>
                <w:color w:val="1A1A2E"/>
                <w:sz w:val="20"/>
                <w:szCs w:val="20"/>
              </w:rPr>
              <w:t xml:space="preserve">1. Solo Datos Públicos</w:t>
            </w:r>
          </w:p>
        </w:tc>
        <w:tc>
          <w:tcPr>
            <w:tcW w:type="dxa" w:w="70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NOE solo recolecta datos publicados en perfiles públicos de redes sociales. Nunca accedemos a cuentas privadas, mensajes directos, grupos cerrados ni datos detrás de muros de login.</w:t>
            </w:r>
          </w:p>
        </w:tc>
      </w:tr>
      <w:tr>
        <w:tc>
          <w:tcPr>
            <w:tcW w:type="dxa" w:w="234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bCs/>
                <w:color w:val="1A1A2E"/>
                <w:sz w:val="20"/>
                <w:szCs w:val="20"/>
              </w:rPr>
              <w:t xml:space="preserve">2. Transparencia</w:t>
            </w:r>
          </w:p>
        </w:tc>
        <w:tc>
          <w:tcPr>
            <w:tcW w:type="dxa" w:w="70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Toda metodología de recolección y análisis es documentada y disponible para auditoría. El cliente sabe exactamente cómo se obtuvieron y procesaron los datos de su reporte.</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bCs/>
                <w:color w:val="1A1A2E"/>
                <w:sz w:val="20"/>
                <w:szCs w:val="20"/>
              </w:rPr>
              <w:t xml:space="preserve">3. Finalidad Legítima</w:t>
            </w:r>
          </w:p>
        </w:tc>
        <w:tc>
          <w:tcPr>
            <w:tcW w:type="dxa" w:w="70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Los datos se recolectan exclusivamente para producir los productos contratados (reportes, estudios, dashboards). Nunca se usan para fines no declarados ni se venden a terceros.</w:t>
            </w:r>
          </w:p>
        </w:tc>
      </w:tr>
      <w:tr>
        <w:tc>
          <w:tcPr>
            <w:tcW w:type="dxa" w:w="234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bCs/>
                <w:color w:val="1A1A2E"/>
                <w:sz w:val="20"/>
                <w:szCs w:val="20"/>
              </w:rPr>
              <w:t xml:space="preserve">4. Minimización</w:t>
            </w:r>
          </w:p>
        </w:tc>
        <w:tc>
          <w:tcPr>
            <w:tcW w:type="dxa" w:w="70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Solo recolectamos los datos estrictamente necesarios para el análisis contratado. No almacenamos datos que no aportan valor al producto entregado.</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bCs/>
                <w:color w:val="1A1A2E"/>
                <w:sz w:val="20"/>
                <w:szCs w:val="20"/>
              </w:rPr>
              <w:t xml:space="preserve">5. Anonimización</w:t>
            </w:r>
          </w:p>
        </w:tc>
        <w:tc>
          <w:tcPr>
            <w:tcW w:type="dxa" w:w="70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En reportes públicos o de distribución amplia, los datos de ciudadanos comunes se presentan en agregado. Solo se identifican con nombre figuras públicas, políticos y cuentas verificadas.</w:t>
            </w:r>
          </w:p>
        </w:tc>
      </w:tr>
      <w:tr>
        <w:tc>
          <w:tcPr>
            <w:tcW w:type="dxa" w:w="234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bCs/>
                <w:color w:val="1A1A2E"/>
                <w:sz w:val="20"/>
                <w:szCs w:val="20"/>
              </w:rPr>
              <w:t xml:space="preserve">6. No Dañar</w:t>
            </w:r>
          </w:p>
        </w:tc>
        <w:tc>
          <w:tcPr>
            <w:tcW w:type="dxa" w:w="70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NOE no produce análisis diseñados para acosar, intimidar, discriminar o manipular a personas o comunidades. No aceptamos contratos cuyo propósito sea causar daño.</w:t>
            </w:r>
          </w:p>
        </w:tc>
      </w:tr>
      <w:tr>
        <w:tc>
          <w:tcPr>
            <w:tcW w:type="dxa" w:w="234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bCs/>
                <w:color w:val="1A1A2E"/>
                <w:sz w:val="20"/>
                <w:szCs w:val="20"/>
              </w:rPr>
              <w:t xml:space="preserve">7. Retención Limitada</w:t>
            </w:r>
          </w:p>
        </w:tc>
        <w:tc>
          <w:tcPr>
            <w:tcW w:type="dxa" w:w="70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Los datos crudos se eliminan máximo 90 días después de entregado el producto, salvo acuerdo explícito con el cliente para retención extendida.</w:t>
            </w:r>
          </w:p>
        </w:tc>
      </w:tr>
    </w:tbl>
    <w:p>
      <w:r>
        <w:br w:type="page"/>
      </w:r>
    </w:p>
    <w:p>
      <w:pPr>
        <w:pStyle w:val="Heading1"/>
        <w:spacing w:after="200" w:before="360"/>
      </w:pPr>
      <w:r>
        <w:rPr>
          <w:rFonts w:ascii="Arial" w:cs="Arial" w:eastAsia="Arial" w:hAnsi="Arial"/>
          <w:b/>
          <w:bCs/>
          <w:color w:val="0F2B46"/>
          <w:sz w:val="36"/>
          <w:szCs w:val="36"/>
        </w:rPr>
        <w:t xml:space="preserve">4. LÍNEAS ROJAS — LO QUE NOE NUNCA HARÁ</w:t>
      </w:r>
    </w:p>
    <w:p>
      <w:pPr>
        <w:spacing w:after="120"/>
        <w:jc w:val="both"/>
      </w:pPr>
      <w:r>
        <w:rPr>
          <w:rFonts w:ascii="Arial" w:cs="Arial" w:eastAsia="Arial" w:hAnsi="Arial"/>
          <w:b/>
          <w:bCs/>
          <w:i w:val="false"/>
          <w:iCs w:val="false"/>
          <w:color w:val="1A1A2E"/>
          <w:sz w:val="22"/>
          <w:szCs w:val="22"/>
        </w:rPr>
        <w:t xml:space="preserve">Las siguientes actividades están prohibidas bajo cualquier circunstancia, sin importar quién lo solicite ni cuánto pague: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Actividad Prohibida</w:t>
            </w:r>
          </w:p>
        </w:tc>
        <w:tc>
          <w:tcPr>
            <w:tcW w:type="dxa" w:w="536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Razón</w:t>
            </w:r>
          </w:p>
        </w:tc>
      </w:tr>
      <w:tr>
        <w:tc>
          <w:tcPr>
            <w:tcW w:type="dxa" w:w="400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bCs/>
                <w:color w:val="C0392B"/>
                <w:sz w:val="20"/>
                <w:szCs w:val="20"/>
              </w:rPr>
              <w:t xml:space="preserve">Crear o amplificar desinformación</w:t>
            </w:r>
          </w:p>
        </w:tc>
        <w:tc>
          <w:tcPr>
            <w:tcW w:type="dxa" w:w="536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Fabricar tendencias falsas, manipular sentimiento con bots propios o generar contenido engañoso para beneficiar a un cliente.</w:t>
            </w:r>
          </w:p>
        </w:tc>
      </w:tr>
      <w:tr>
        <w:tc>
          <w:tcPr>
            <w:tcW w:type="dxa" w:w="400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bCs/>
                <w:color w:val="C0392B"/>
                <w:sz w:val="20"/>
                <w:szCs w:val="20"/>
              </w:rPr>
              <w:t xml:space="preserve">Operar bots o cuentas falsas</w:t>
            </w:r>
          </w:p>
        </w:tc>
        <w:tc>
          <w:tcPr>
            <w:tcW w:type="dxa" w:w="536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NOE analiza bots ajenos pero nunca crea, opera o comercializa redes de bots propias para ningún fin.</w:t>
            </w:r>
          </w:p>
        </w:tc>
      </w:tr>
      <w:tr>
        <w:tc>
          <w:tcPr>
            <w:tcW w:type="dxa" w:w="400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bCs/>
                <w:color w:val="C0392B"/>
                <w:sz w:val="20"/>
                <w:szCs w:val="20"/>
              </w:rPr>
              <w:t xml:space="preserve">Perfilar menores de edad</w:t>
            </w:r>
          </w:p>
        </w:tc>
        <w:tc>
          <w:tcPr>
            <w:tcW w:type="dxa" w:w="536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Ningún dato de personas menores de 18 años se recolecta, almacena, procesa ni reporta. Si se detecta un menor en el dataset, se elimina.</w:t>
            </w:r>
          </w:p>
        </w:tc>
      </w:tr>
      <w:tr>
        <w:tc>
          <w:tcPr>
            <w:tcW w:type="dxa" w:w="400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bCs/>
                <w:color w:val="C0392B"/>
                <w:sz w:val="20"/>
                <w:szCs w:val="20"/>
              </w:rPr>
              <w:t xml:space="preserve">Vender datos personales a terceros</w:t>
            </w:r>
          </w:p>
        </w:tc>
        <w:tc>
          <w:tcPr>
            <w:tcW w:type="dxa" w:w="536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Los datos recolectados pertenecen al producto del cliente. Nunca se venden, intercambian ni comparten con terceros no autorizados.</w:t>
            </w:r>
          </w:p>
        </w:tc>
      </w:tr>
      <w:tr>
        <w:tc>
          <w:tcPr>
            <w:tcW w:type="dxa" w:w="400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bCs/>
                <w:color w:val="C0392B"/>
                <w:sz w:val="20"/>
                <w:szCs w:val="20"/>
              </w:rPr>
              <w:t xml:space="preserve">Acceder a datos detrás de login</w:t>
            </w:r>
          </w:p>
        </w:tc>
        <w:tc>
          <w:tcPr>
            <w:tcW w:type="dxa" w:w="536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Posts de cuentas privadas, mensajes directos, grupos cerrados de Facebook, stories privadas: todo prohibido.</w:t>
            </w:r>
          </w:p>
        </w:tc>
      </w:tr>
      <w:tr>
        <w:tc>
          <w:tcPr>
            <w:tcW w:type="dxa" w:w="400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bCs/>
                <w:color w:val="C0392B"/>
                <w:sz w:val="20"/>
                <w:szCs w:val="20"/>
              </w:rPr>
              <w:t xml:space="preserve">Evadir barreras técnicas de las plataformas</w:t>
            </w:r>
          </w:p>
        </w:tc>
        <w:tc>
          <w:tcPr>
            <w:tcW w:type="dxa" w:w="536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No se usan técnicas para saltarse rate limits, CAPTCHAs, IP blocks u otras protecciones de las plataformas.</w:t>
            </w:r>
          </w:p>
        </w:tc>
      </w:tr>
      <w:tr>
        <w:tc>
          <w:tcPr>
            <w:tcW w:type="dxa" w:w="400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bCs/>
                <w:color w:val="C0392B"/>
                <w:sz w:val="20"/>
                <w:szCs w:val="20"/>
              </w:rPr>
              <w:t xml:space="preserve">Inferir y publicar datos sensibles</w:t>
            </w:r>
          </w:p>
        </w:tc>
        <w:tc>
          <w:tcPr>
            <w:tcW w:type="dxa" w:w="536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Si del análisis se infiere orientación sexual, religión, etnia, condición de salud u otro dato sensible de una persona, esa inferencia no se publica ni comparte.</w:t>
            </w:r>
          </w:p>
        </w:tc>
      </w:tr>
      <w:tr>
        <w:tc>
          <w:tcPr>
            <w:tcW w:type="dxa" w:w="400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bCs/>
                <w:color w:val="C0392B"/>
                <w:sz w:val="20"/>
                <w:szCs w:val="20"/>
              </w:rPr>
              <w:t xml:space="preserve">Aceptar clientes con agenda de manipulación</w:t>
            </w:r>
          </w:p>
        </w:tc>
        <w:tc>
          <w:tcPr>
            <w:tcW w:type="dxa" w:w="5360"/>
            <w:tcBorders>
              <w:top w:val="single" w:color="CCCCCC" w:sz="1"/>
              <w:left w:val="single" w:color="CCCCCC" w:sz="1"/>
              <w:bottom w:val="single" w:color="CCCCCC" w:sz="1"/>
              <w:right w:val="single" w:color="CCCCCC" w:sz="1"/>
            </w:tcBorders>
            <w:shd w:fill="FADBD8"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Se rechaza cualquier contrato cuyo propósito declarado o evidente sea manipular la opinión pública mediante desinformación, supresión de voto o acoso coordinado.</w:t>
            </w:r>
          </w:p>
        </w:tc>
      </w:tr>
    </w:tbl>
    <w:p>
      <w:r>
        <w:br w:type="page"/>
      </w:r>
    </w:p>
    <w:p>
      <w:pPr>
        <w:pStyle w:val="Heading1"/>
        <w:spacing w:after="200" w:before="360"/>
      </w:pPr>
      <w:r>
        <w:rPr>
          <w:rFonts w:ascii="Arial" w:cs="Arial" w:eastAsia="Arial" w:hAnsi="Arial"/>
          <w:b/>
          <w:bCs/>
          <w:color w:val="0F2B46"/>
          <w:sz w:val="36"/>
          <w:szCs w:val="36"/>
        </w:rPr>
        <w:t xml:space="preserve">5. LO QUE NOE SÍ PUEDE HACER</w:t>
      </w:r>
    </w:p>
    <w:p>
      <w:pPr>
        <w:spacing w:after="120"/>
        <w:jc w:val="both"/>
      </w:pPr>
      <w:r>
        <w:rPr>
          <w:rFonts w:ascii="Arial" w:cs="Arial" w:eastAsia="Arial" w:hAnsi="Arial"/>
          <w:b w:val="false"/>
          <w:bCs w:val="false"/>
          <w:i w:val="false"/>
          <w:iCs w:val="false"/>
          <w:color w:val="1A1A2E"/>
          <w:sz w:val="22"/>
          <w:szCs w:val="22"/>
        </w:rPr>
        <w:t xml:space="preserve">Estas actividades son legales, éticas y constituyen el core de nuestro negocio: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W w:type="dxa" w:w="400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Actividad Permitida</w:t>
            </w:r>
          </w:p>
        </w:tc>
        <w:tc>
          <w:tcPr>
            <w:tcW w:type="dxa" w:w="536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Condiciones</w:t>
            </w:r>
          </w:p>
        </w:tc>
      </w:tr>
      <w:tr>
        <w:tc>
          <w:tcPr>
            <w:tcW w:type="dxa" w:w="400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bCs/>
                <w:color w:val="1A1A2E"/>
                <w:sz w:val="20"/>
                <w:szCs w:val="20"/>
              </w:rPr>
              <w:t xml:space="preserve">Analizar sentimiento agregado</w:t>
            </w:r>
          </w:p>
        </w:tc>
        <w:tc>
          <w:tcPr>
            <w:tcW w:type="dxa" w:w="536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"El 67% de las menciones sobre la reforma fueron negativas." Datos en agregado, sin identificar individuos comunes.</w:t>
            </w:r>
          </w:p>
        </w:tc>
      </w:tr>
      <w:tr>
        <w:tc>
          <w:tcPr>
            <w:tcW w:type="dxa" w:w="400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bCs/>
                <w:color w:val="1A1A2E"/>
                <w:sz w:val="20"/>
                <w:szCs w:val="20"/>
              </w:rPr>
              <w:t xml:space="preserve">Rankear influenciadores públicos</w:t>
            </w:r>
          </w:p>
        </w:tc>
        <w:tc>
          <w:tcPr>
            <w:tcW w:type="dxa" w:w="536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Figuras públicas, políticos, cuentas verificadas y cuentas con +50K seguidores. Basado en métricas públicas de engagement.</w:t>
            </w:r>
          </w:p>
        </w:tc>
      </w:tr>
      <w:tr>
        <w:tc>
          <w:tcPr>
            <w:tcW w:type="dxa" w:w="400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bCs/>
                <w:color w:val="1A1A2E"/>
                <w:sz w:val="20"/>
                <w:szCs w:val="20"/>
              </w:rPr>
              <w:t xml:space="preserve">Detectar bots y campañas coordinadas</w:t>
            </w:r>
          </w:p>
        </w:tc>
        <w:tc>
          <w:tcPr>
            <w:tcW w:type="dxa" w:w="536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Reportar patrones de comportamiento automatizado sin identificar personas reales detrás de las cuentas.</w:t>
            </w:r>
          </w:p>
        </w:tc>
      </w:tr>
      <w:tr>
        <w:tc>
          <w:tcPr>
            <w:tcW w:type="dxa" w:w="400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bCs/>
                <w:color w:val="1A1A2E"/>
                <w:sz w:val="20"/>
                <w:szCs w:val="20"/>
              </w:rPr>
              <w:t xml:space="preserve">Analizar tendencias y topics</w:t>
            </w:r>
          </w:p>
        </w:tc>
        <w:tc>
          <w:tcPr>
            <w:tcW w:type="dxa" w:w="536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Temas emergentes, evolución de conversaciones, análisis de hashtags. Todo basado en datos públicos.</w:t>
            </w:r>
          </w:p>
        </w:tc>
      </w:tr>
      <w:tr>
        <w:tc>
          <w:tcPr>
            <w:tcW w:type="dxa" w:w="400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bCs/>
                <w:color w:val="1A1A2E"/>
                <w:sz w:val="20"/>
                <w:szCs w:val="20"/>
              </w:rPr>
              <w:t xml:space="preserve">Comparar posicionamiento entre figuras públicas</w:t>
            </w:r>
          </w:p>
        </w:tc>
        <w:tc>
          <w:tcPr>
            <w:tcW w:type="dxa" w:w="536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Candidato A vs Candidato B en métricas de sentimiento, engagement, share of voice. Solo personas públicas.</w:t>
            </w:r>
          </w:p>
        </w:tc>
      </w:tr>
      <w:tr>
        <w:tc>
          <w:tcPr>
            <w:tcW w:type="dxa" w:w="400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bCs/>
                <w:color w:val="1A1A2E"/>
                <w:sz w:val="20"/>
                <w:szCs w:val="20"/>
              </w:rPr>
              <w:t xml:space="preserve">Métricas de engagement de cuentas públicas</w:t>
            </w:r>
          </w:p>
        </w:tc>
        <w:tc>
          <w:tcPr>
            <w:tcW w:type="dxa" w:w="536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Likes, shares, replies, crecimiento de seguidores, alcance estimado. Datos que las propias plataformas hacen públicos.</w:t>
            </w:r>
          </w:p>
        </w:tc>
      </w:tr>
      <w:tr>
        <w:tc>
          <w:tcPr>
            <w:tcW w:type="dxa" w:w="400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bCs/>
                <w:color w:val="1A1A2E"/>
                <w:sz w:val="20"/>
                <w:szCs w:val="20"/>
              </w:rPr>
              <w:t xml:space="preserve">Construir grafos de interacciones públicas</w:t>
            </w:r>
          </w:p>
        </w:tc>
        <w:tc>
          <w:tcPr>
            <w:tcW w:type="dxa" w:w="536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Quién menciona a quién, quién responde a quién, redes de retweets. Solo interacciones visibles públicamente.</w:t>
            </w:r>
          </w:p>
        </w:tc>
      </w:tr>
      <w:tr>
        <w:tc>
          <w:tcPr>
            <w:tcW w:type="dxa" w:w="400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bCs/>
                <w:color w:val="1A1A2E"/>
                <w:sz w:val="20"/>
                <w:szCs w:val="20"/>
              </w:rPr>
              <w:t xml:space="preserve">Análisis predictivo de tendencias</w:t>
            </w:r>
          </w:p>
        </w:tc>
        <w:tc>
          <w:tcPr>
            <w:tcW w:type="dxa" w:w="536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Modelar hacia dónde va la conversación basado en patrones históricos de datos públicos. No predicción de comportamiento individual.</w:t>
            </w:r>
          </w:p>
        </w:tc>
      </w:tr>
    </w:tbl>
    <w:p>
      <w:r>
        <w:br w:type="page"/>
      </w:r>
    </w:p>
    <w:p>
      <w:pPr>
        <w:pStyle w:val="Heading1"/>
        <w:spacing w:after="200" w:before="360"/>
      </w:pPr>
      <w:r>
        <w:rPr>
          <w:rFonts w:ascii="Arial" w:cs="Arial" w:eastAsia="Arial" w:hAnsi="Arial"/>
          <w:b/>
          <w:bCs/>
          <w:color w:val="0F2B46"/>
          <w:sz w:val="36"/>
          <w:szCs w:val="36"/>
        </w:rPr>
        <w:t xml:space="preserve">6. ESTRATEGIA DE OBTENCIÓN DE DATOS</w:t>
      </w:r>
    </w:p>
    <w:p>
      <w:pPr>
        <w:pStyle w:val="Heading2"/>
        <w:spacing w:after="160" w:before="280"/>
      </w:pPr>
      <w:r>
        <w:rPr>
          <w:rFonts w:ascii="Arial" w:cs="Arial" w:eastAsia="Arial" w:hAnsi="Arial"/>
          <w:b/>
          <w:bCs/>
          <w:color w:val="1A6B8A"/>
          <w:sz w:val="28"/>
          <w:szCs w:val="28"/>
        </w:rPr>
        <w:t xml:space="preserve">6.1 Fuentes Primarias (Preferidas)</w:t>
      </w:r>
    </w:p>
    <w:p>
      <w:pPr>
        <w:spacing w:after="120"/>
        <w:jc w:val="both"/>
      </w:pPr>
      <w:r>
        <w:rPr>
          <w:rFonts w:ascii="Arial" w:cs="Arial" w:eastAsia="Arial" w:hAnsi="Arial"/>
          <w:b w:val="false"/>
          <w:bCs w:val="false"/>
          <w:i w:val="false"/>
          <w:iCs w:val="false"/>
          <w:color w:val="1A1A2E"/>
          <w:sz w:val="22"/>
          <w:szCs w:val="22"/>
        </w:rPr>
        <w:t xml:space="preserve">APIs Oficiales: X API (Academic Research o Pro), Meta Graph API, YouTube Data API v3, LinkedIn API (Marketing Developer Platform). Estas son la primera opción siempre. Son legales, documentadas y sujetas a términos claros de uso.</w:t>
      </w:r>
    </w:p>
    <w:p>
      <w:pPr>
        <w:pStyle w:val="Heading2"/>
        <w:spacing w:after="160" w:before="280"/>
      </w:pPr>
      <w:r>
        <w:rPr>
          <w:rFonts w:ascii="Arial" w:cs="Arial" w:eastAsia="Arial" w:hAnsi="Arial"/>
          <w:b/>
          <w:bCs/>
          <w:color w:val="1A6B8A"/>
          <w:sz w:val="28"/>
          <w:szCs w:val="28"/>
        </w:rPr>
        <w:t xml:space="preserve">6.2 Fuentes Secundarias (Controladas)</w:t>
      </w:r>
    </w:p>
    <w:p>
      <w:pPr>
        <w:spacing w:after="120"/>
        <w:jc w:val="both"/>
      </w:pPr>
      <w:r>
        <w:rPr>
          <w:rFonts w:ascii="Arial" w:cs="Arial" w:eastAsia="Arial" w:hAnsi="Arial"/>
          <w:b w:val="false"/>
          <w:bCs w:val="false"/>
          <w:i w:val="false"/>
          <w:iCs w:val="false"/>
          <w:color w:val="1A1A2E"/>
          <w:sz w:val="22"/>
          <w:szCs w:val="22"/>
        </w:rPr>
        <w:t xml:space="preserve">Scraping complementario: Solo cuando las APIs no cubren la necesidad o no están disponibles. Condiciones estrictas: solo datos públicos visibles sin login, sin evadir rate limits ni barreras técnicas, con user-agent identificable, respetando robots.txt, y con volúmenes razonables que no impacten el servicio de la plataforma.</w:t>
      </w:r>
    </w:p>
    <w:p>
      <w:pPr>
        <w:pStyle w:val="Heading2"/>
        <w:spacing w:after="160" w:before="280"/>
      </w:pPr>
      <w:r>
        <w:rPr>
          <w:rFonts w:ascii="Arial" w:cs="Arial" w:eastAsia="Arial" w:hAnsi="Arial"/>
          <w:b/>
          <w:bCs/>
          <w:color w:val="1A6B8A"/>
          <w:sz w:val="28"/>
          <w:szCs w:val="28"/>
        </w:rPr>
        <w:t xml:space="preserve">6.3 Fuentes Prohibidas</w:t>
      </w:r>
    </w:p>
    <w:p>
      <w:pPr>
        <w:spacing w:after="120"/>
        <w:jc w:val="both"/>
      </w:pPr>
      <w:r>
        <w:rPr>
          <w:rFonts w:ascii="Arial" w:cs="Arial" w:eastAsia="Arial" w:hAnsi="Arial"/>
          <w:b w:val="false"/>
          <w:bCs w:val="false"/>
          <w:i w:val="false"/>
          <w:iCs w:val="false"/>
          <w:color w:val="1A1A2E"/>
          <w:sz w:val="22"/>
          <w:szCs w:val="22"/>
        </w:rPr>
        <w:t xml:space="preserve">Nunca se accederá a: cuentas privadas, mensajes directos, grupos cerrados, contenido eliminado por el autor, datos obtenidos por hackeo o filtración, bases de datos compradas en mercado negro, datos de menores de edad.</w:t>
      </w:r>
    </w:p>
    <w:p>
      <w:pPr>
        <w:pStyle w:val="Heading2"/>
        <w:spacing w:after="160" w:before="280"/>
      </w:pPr>
      <w:r>
        <w:rPr>
          <w:rFonts w:ascii="Arial" w:cs="Arial" w:eastAsia="Arial" w:hAnsi="Arial"/>
          <w:b/>
          <w:bCs/>
          <w:color w:val="1A6B8A"/>
          <w:sz w:val="28"/>
          <w:szCs w:val="28"/>
        </w:rPr>
        <w:t xml:space="preserve">6.4 Almacenamiento y Retención</w:t>
      </w:r>
    </w:p>
    <w:p>
      <w:pPr>
        <w:spacing w:after="120"/>
        <w:jc w:val="both"/>
      </w:pPr>
      <w:r>
        <w:rPr>
          <w:rFonts w:ascii="Arial" w:cs="Arial" w:eastAsia="Arial" w:hAnsi="Arial"/>
          <w:b w:val="false"/>
          <w:bCs w:val="false"/>
          <w:i w:val="false"/>
          <w:iCs w:val="false"/>
          <w:color w:val="1A1A2E"/>
          <w:sz w:val="22"/>
          <w:szCs w:val="22"/>
        </w:rPr>
        <w:t xml:space="preserve">Datos crudos: almacenados cifrados en DuckDB/PostgreSQL con acceso restringido al equipo técnico. Retención máxima: 90 días post-entrega del producto. Datos procesados (agregados, métricas): pueden retenerse indefinidamente pues no contienen información personal identificable. Backups: cifrados, misma política de retención.</w:t>
      </w:r>
    </w:p>
    <w:p>
      <w:r>
        <w:br w:type="page"/>
      </w:r>
    </w:p>
    <w:p>
      <w:pPr>
        <w:pStyle w:val="Heading1"/>
        <w:spacing w:after="200" w:before="360"/>
      </w:pPr>
      <w:r>
        <w:rPr>
          <w:rFonts w:ascii="Arial" w:cs="Arial" w:eastAsia="Arial" w:hAnsi="Arial"/>
          <w:b/>
          <w:bCs/>
          <w:color w:val="0F2B46"/>
          <w:sz w:val="36"/>
          <w:szCs w:val="36"/>
        </w:rPr>
        <w:t xml:space="preserve">7. OBLIGACIONES DEL CLIENTE</w:t>
      </w:r>
    </w:p>
    <w:p>
      <w:pPr>
        <w:spacing w:after="120"/>
        <w:jc w:val="both"/>
      </w:pPr>
      <w:r>
        <w:rPr>
          <w:rFonts w:ascii="Arial" w:cs="Arial" w:eastAsia="Arial" w:hAnsi="Arial"/>
          <w:b w:val="false"/>
          <w:bCs w:val="false"/>
          <w:i w:val="false"/>
          <w:iCs w:val="false"/>
          <w:color w:val="1A1A2E"/>
          <w:sz w:val="22"/>
          <w:szCs w:val="22"/>
        </w:rPr>
        <w:t xml:space="preserve">Todo cliente de NOE firma un acuerdo que incluye: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Cláusula</w:t>
            </w:r>
          </w:p>
        </w:tc>
        <w:tc>
          <w:tcPr>
            <w:tcW w:type="dxa" w:w="624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Compromiso del Cliente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bCs/>
                <w:color w:val="1A1A2E"/>
                <w:sz w:val="20"/>
                <w:szCs w:val="20"/>
              </w:rPr>
              <w:t xml:space="preserve">Uso responsable</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El cliente no usará los datos y reportes de NOE para acosar, intimidar, discriminar o manipular a personas o comunidades.</w:t>
            </w:r>
          </w:p>
        </w:tc>
      </w:tr>
      <w:tr>
        <w:tc>
          <w:tcPr>
            <w:tcW w:type="dxa" w:w="31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bCs/>
                <w:color w:val="1A1A2E"/>
                <w:sz w:val="20"/>
                <w:szCs w:val="20"/>
              </w:rPr>
              <w:t xml:space="preserve">Confidencialidad</w:t>
            </w:r>
          </w:p>
        </w:tc>
        <w:tc>
          <w:tcPr>
            <w:tcW w:type="dxa" w:w="624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Los datos crudos entregados como parte de un estudio son confidenciales y no pueden ser compartidos con terceros sin autorización escrita de NOE.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bCs/>
                <w:color w:val="1A1A2E"/>
                <w:sz w:val="20"/>
                <w:szCs w:val="20"/>
              </w:rPr>
              <w:t xml:space="preserve">No redistribución</w:t>
            </w:r>
          </w:p>
        </w:tc>
        <w:tc>
          <w:tcPr>
            <w:tcW w:type="dxa" w:w="624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Los productos de NOE son para uso interno del cliente. La reventa o redistribución requiere acuerdo white-label específico.</w:t>
            </w:r>
          </w:p>
        </w:tc>
      </w:tr>
      <w:tr>
        <w:tc>
          <w:tcPr>
            <w:tcW w:type="dxa" w:w="31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bCs/>
                <w:color w:val="1A1A2E"/>
                <w:sz w:val="20"/>
                <w:szCs w:val="20"/>
              </w:rPr>
              <w:t xml:space="preserve">Reporte de mal uso</w:t>
            </w:r>
          </w:p>
        </w:tc>
        <w:tc>
          <w:tcPr>
            <w:tcW w:type="dxa" w:w="624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Si NOE detecta uso indebido de sus productos, se reserva el derecho de rescindir el contrato inmediatamente sin reembolso.</w:t>
            </w:r>
          </w:p>
        </w:tc>
      </w:tr>
    </w:tbl>
    <w:p>
      <w:r>
        <w:br w:type="page"/>
      </w:r>
    </w:p>
    <w:p>
      <w:pPr>
        <w:pStyle w:val="Heading1"/>
        <w:spacing w:after="200" w:before="360"/>
      </w:pPr>
      <w:r>
        <w:rPr>
          <w:rFonts w:ascii="Arial" w:cs="Arial" w:eastAsia="Arial" w:hAnsi="Arial"/>
          <w:b/>
          <w:bCs/>
          <w:color w:val="0F2B46"/>
          <w:sz w:val="36"/>
          <w:szCs w:val="36"/>
        </w:rPr>
        <w:t xml:space="preserve">8. LECCIÓN CAMBRIDGE ANALYTICA</w:t>
      </w:r>
    </w:p>
    <w:p>
      <w:pPr>
        <w:spacing w:after="120"/>
        <w:jc w:val="both"/>
      </w:pPr>
      <w:r>
        <w:rPr>
          <w:rFonts w:ascii="Arial" w:cs="Arial" w:eastAsia="Arial" w:hAnsi="Arial"/>
          <w:b w:val="false"/>
          <w:bCs w:val="false"/>
          <w:i w:val="false"/>
          <w:iCs w:val="false"/>
          <w:color w:val="1A1A2E"/>
          <w:sz w:val="22"/>
          <w:szCs w:val="22"/>
        </w:rPr>
        <w:t xml:space="preserve">NOE estudia y aprende del caso Cambridge Analytica (2018) como referencia de lo que NUNCA debe ocurrir en nuestra operación: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Lo que hizo Cambridge Analytica</w:t>
            </w:r>
          </w:p>
        </w:tc>
        <w:tc>
          <w:tcPr>
            <w:tcW w:type="dxa" w:w="312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Consecuencia</w:t>
            </w:r>
          </w:p>
        </w:tc>
        <w:tc>
          <w:tcPr>
            <w:tcW w:type="dxa" w:w="312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Posición de NOE</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Recolectó datos de 87M de perfiles sin consentimiento válido</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Multa a Facebook: $5 mil millones USD. Cambridge Analytica quebró.</w:t>
            </w:r>
          </w:p>
        </w:tc>
        <w:tc>
          <w:tcPr>
            <w:tcW w:type="dxa" w:w="312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NOE solo usa datos públicos. No requerimos consentimiento individual porque no accedemos a datos privados.</w:t>
            </w:r>
          </w:p>
        </w:tc>
      </w:tr>
      <w:tr>
        <w:tc>
          <w:tcPr>
            <w:tcW w:type="dxa" w:w="31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Vendió datos personales a terceros políticos</w:t>
            </w:r>
          </w:p>
        </w:tc>
        <w:tc>
          <w:tcPr>
            <w:tcW w:type="dxa" w:w="31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Investigaciones criminales en UK y EE.UU. Regulaciones GDPR se aceleraron.</w:t>
            </w:r>
          </w:p>
        </w:tc>
        <w:tc>
          <w:tcPr>
            <w:tcW w:type="dxa" w:w="31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NOE nunca vende datos. Vendemos reportes con análisis agregado. Los datos crudos se eliminan en 90 días.</w:t>
            </w:r>
          </w:p>
        </w:tc>
      </w:tr>
      <w:tr>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Usó perfilado psicográfico para manipulación electoral</w:t>
            </w:r>
          </w:p>
        </w:tc>
        <w:tc>
          <w:tcPr>
            <w:tcW w:type="dxa" w:w="312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Escándalo global. Destrucción total de la empresa y marca.</w:t>
            </w:r>
          </w:p>
        </w:tc>
        <w:tc>
          <w:tcPr>
            <w:tcW w:type="dxa" w:w="3120"/>
            <w:tcBorders>
              <w:top w:val="single" w:color="CCCCCC" w:sz="1"/>
              <w:left w:val="single" w:color="CCCCCC" w:sz="1"/>
              <w:bottom w:val="single" w:color="CCCCCC" w:sz="1"/>
              <w:right w:val="single" w:color="CCCCCC" w:sz="1"/>
            </w:tcBorders>
            <w:shd w:fill="D5F5E3"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NOE no hace perfilado psicográfico individual. Nuestro análisis es de tendencias colectivas, no de manipulación individual.</w:t>
            </w:r>
          </w:p>
        </w:tc>
      </w:tr>
      <w:tr>
        <w:tc>
          <w:tcPr>
            <w:tcW w:type="dxa" w:w="31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Accedió a datos de amigos de usuarios sin su conocimiento</w:t>
            </w:r>
          </w:p>
        </w:tc>
        <w:tc>
          <w:tcPr>
            <w:tcW w:type="dxa" w:w="31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Violación masiva de privacidad. Precedente legal negativo.</w:t>
            </w:r>
          </w:p>
        </w:tc>
        <w:tc>
          <w:tcPr>
            <w:tcW w:type="dxa" w:w="312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NOE no accede a grafos sociales privados. Solo interacciones públicas (menciones, replies, retweets visibles).</w:t>
            </w:r>
          </w:p>
        </w:tc>
      </w:tr>
    </w:tbl>
    <w:p>
      <w:r>
        <w:br w:type="page"/>
      </w:r>
    </w:p>
    <w:p>
      <w:pPr>
        <w:pStyle w:val="Heading1"/>
        <w:spacing w:after="200" w:before="360"/>
      </w:pPr>
      <w:r>
        <w:rPr>
          <w:rFonts w:ascii="Arial" w:cs="Arial" w:eastAsia="Arial" w:hAnsi="Arial"/>
          <w:b/>
          <w:bCs/>
          <w:color w:val="0F2B46"/>
          <w:sz w:val="36"/>
          <w:szCs w:val="36"/>
        </w:rPr>
        <w:t xml:space="preserve">9. REGISTRO Y CUMPLIMIENTO SIC</w:t>
      </w:r>
    </w:p>
    <w:p>
      <w:pPr>
        <w:spacing w:after="120"/>
        <w:jc w:val="both"/>
      </w:pPr>
      <w:r>
        <w:rPr>
          <w:rFonts w:ascii="Arial" w:cs="Arial" w:eastAsia="Arial" w:hAnsi="Arial"/>
          <w:b w:val="false"/>
          <w:bCs w:val="false"/>
          <w:i w:val="false"/>
          <w:iCs w:val="false"/>
          <w:color w:val="1A1A2E"/>
          <w:sz w:val="22"/>
          <w:szCs w:val="22"/>
        </w:rPr>
        <w:t xml:space="preserve">NOE se compromete a completar los siguientes registros y obligaciones ante la Superintendencia de Industria y Comercio (SIC) de Colombia:</w:t>
      </w:r>
    </w:p>
    <w:p>
      <w:pPr>
        <w:spacing w:after="120"/>
        <w:jc w:val="both"/>
      </w:pPr>
      <w:r>
        <w:rPr>
          <w:rFonts w:ascii="Arial" w:cs="Arial" w:eastAsia="Arial" w:hAnsi="Arial"/>
          <w:b w:val="false"/>
          <w:bCs w:val="false"/>
          <w:i w:val="false"/>
          <w:iCs w:val="false"/>
          <w:color w:val="1A1A2E"/>
          <w:sz w:val="22"/>
          <w:szCs w:val="22"/>
        </w:rPr>
        <w:t xml:space="preserve">Registro Nacional de Bases de Datos (RNBD): Inscribir todas las bases de datos que contengan información personal ante la SIC, detallando finalidad, tipo de datos, medidas de seguridad y política de tratamiento.</w:t>
      </w:r>
    </w:p>
    <w:p>
      <w:pPr>
        <w:spacing w:after="120"/>
        <w:jc w:val="both"/>
      </w:pPr>
      <w:r>
        <w:rPr>
          <w:rFonts w:ascii="Arial" w:cs="Arial" w:eastAsia="Arial" w:hAnsi="Arial"/>
          <w:b w:val="false"/>
          <w:bCs w:val="false"/>
          <w:i w:val="false"/>
          <w:iCs w:val="false"/>
          <w:color w:val="1A1A2E"/>
          <w:sz w:val="22"/>
          <w:szCs w:val="22"/>
        </w:rPr>
        <w:t xml:space="preserve">Política de Tratamiento de Datos: Documento público disponible en el sitio web de NOE que detalla qué datos se recolectan, con qué fin, cómo se protegen y cómo un titular puede ejercer sus derechos.</w:t>
      </w:r>
    </w:p>
    <w:p>
      <w:pPr>
        <w:spacing w:after="120"/>
        <w:jc w:val="both"/>
      </w:pPr>
      <w:r>
        <w:rPr>
          <w:rFonts w:ascii="Arial" w:cs="Arial" w:eastAsia="Arial" w:hAnsi="Arial"/>
          <w:b w:val="false"/>
          <w:bCs w:val="false"/>
          <w:i w:val="false"/>
          <w:iCs w:val="false"/>
          <w:color w:val="1A1A2E"/>
          <w:sz w:val="22"/>
          <w:szCs w:val="22"/>
        </w:rPr>
        <w:t xml:space="preserve">Oficial de Protección de Datos: Designar un responsable interno del cumplimiento de la política de datos (inicialmente el CEO; posteriormente un cargo dedicado).</w:t>
      </w:r>
    </w:p>
    <w:p>
      <w:pPr>
        <w:spacing w:after="120"/>
        <w:jc w:val="both"/>
      </w:pPr>
      <w:r>
        <w:rPr>
          <w:rFonts w:ascii="Arial" w:cs="Arial" w:eastAsia="Arial" w:hAnsi="Arial"/>
          <w:b w:val="false"/>
          <w:bCs w:val="false"/>
          <w:i w:val="false"/>
          <w:iCs w:val="false"/>
          <w:color w:val="1A1A2E"/>
          <w:sz w:val="22"/>
          <w:szCs w:val="22"/>
        </w:rPr>
        <w:t xml:space="preserve">Evaluación de Impacto: Antes de lanzar cada nuevo producto o capacidad de análisis, realizar una evaluación de impacto en protección de datos que documente riesgos y mitigaciones.</w:t>
      </w:r>
    </w:p>
    <w:p>
      <w:pPr>
        <w:spacing w:after="120"/>
        <w:jc w:val="both"/>
      </w:pPr>
      <w:r>
        <w:rPr>
          <w:rFonts w:ascii="Arial" w:cs="Arial" w:eastAsia="Arial" w:hAnsi="Arial"/>
          <w:b w:val="false"/>
          <w:bCs w:val="false"/>
          <w:i w:val="false"/>
          <w:iCs w:val="false"/>
          <w:color w:val="1A1A2E"/>
          <w:sz w:val="22"/>
          <w:szCs w:val="22"/>
        </w:rPr>
        <w:t xml:space="preserve">Procedimiento de quejas: Canal habilitado (email dedicado) para que cualquier persona pueda solicitar información sobre sus datos, pedir rectificación o eliminación.</w:t>
      </w:r>
    </w:p>
    <w:p>
      <w:r>
        <w:br w:type="page"/>
      </w:r>
    </w:p>
    <w:p>
      <w:pPr>
        <w:pStyle w:val="Heading1"/>
        <w:spacing w:after="200" w:before="360"/>
      </w:pPr>
      <w:r>
        <w:rPr>
          <w:rFonts w:ascii="Arial" w:cs="Arial" w:eastAsia="Arial" w:hAnsi="Arial"/>
          <w:b/>
          <w:bCs/>
          <w:color w:val="0F2B46"/>
          <w:sz w:val="36"/>
          <w:szCs w:val="36"/>
        </w:rPr>
        <w:t xml:space="preserve">10. PROTOCOLO DE INCIDENTES</w:t>
      </w:r>
    </w:p>
    <w:p>
      <w:pPr>
        <w:spacing w:after="120"/>
        <w:jc w:val="both"/>
      </w:pPr>
      <w:r>
        <w:rPr>
          <w:rFonts w:ascii="Arial" w:cs="Arial" w:eastAsia="Arial" w:hAnsi="Arial"/>
          <w:b w:val="false"/>
          <w:bCs w:val="false"/>
          <w:i w:val="false"/>
          <w:iCs w:val="false"/>
          <w:color w:val="1A1A2E"/>
          <w:sz w:val="22"/>
          <w:szCs w:val="22"/>
        </w:rPr>
        <w:t xml:space="preserve">En caso de brecha de seguridad, filtración de datos o uso indebido detectado: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400"/>
        <w:gridCol w:w="5400"/>
      </w:tblGrid>
      <w:tr>
        <w:tc>
          <w:tcPr>
            <w:tcW w:type="dxa" w:w="156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Paso</w:t>
            </w:r>
          </w:p>
        </w:tc>
        <w:tc>
          <w:tcPr>
            <w:tcW w:type="dxa" w:w="240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Acción</w:t>
            </w:r>
          </w:p>
        </w:tc>
        <w:tc>
          <w:tcPr>
            <w:tcW w:type="dxa" w:w="5400"/>
            <w:tcBorders>
              <w:top w:val="single" w:color="CCCCCC" w:sz="1"/>
              <w:left w:val="single" w:color="CCCCCC" w:sz="1"/>
              <w:bottom w:val="single" w:color="CCCCCC" w:sz="1"/>
              <w:right w:val="single" w:color="CCCCCC" w:sz="1"/>
            </w:tcBorders>
            <w:shd w:fill="0F2B4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Detalle</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center"/>
            </w:pPr>
            <w:r>
              <w:rPr>
                <w:rFonts w:ascii="Arial" w:cs="Arial" w:eastAsia="Arial" w:hAnsi="Arial"/>
                <w:b/>
                <w:bCs/>
                <w:color w:val="1A1A2E"/>
                <w:sz w:val="20"/>
                <w:szCs w:val="20"/>
              </w:rPr>
              <w:t xml:space="preserve">1</w:t>
            </w:r>
          </w:p>
        </w:tc>
        <w:tc>
          <w:tcPr>
            <w:tcW w:type="dxa" w:w="240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bCs/>
                <w:color w:val="1A1A2E"/>
                <w:sz w:val="20"/>
                <w:szCs w:val="20"/>
              </w:rPr>
              <w:t xml:space="preserve">Contención inmediata</w:t>
            </w:r>
          </w:p>
        </w:tc>
        <w:tc>
          <w:tcPr>
            <w:tcW w:type="dxa" w:w="540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Aislar el sistema afectado. Suspender accesos. Preservar evidencia.</w:t>
            </w:r>
          </w:p>
        </w:tc>
      </w:tr>
      <w:tr>
        <w:tc>
          <w:tcPr>
            <w:tcW w:type="dxa" w:w="156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center"/>
            </w:pPr>
            <w:r>
              <w:rPr>
                <w:rFonts w:ascii="Arial" w:cs="Arial" w:eastAsia="Arial" w:hAnsi="Arial"/>
                <w:b/>
                <w:bCs/>
                <w:color w:val="1A1A2E"/>
                <w:sz w:val="20"/>
                <w:szCs w:val="20"/>
              </w:rPr>
              <w:t xml:space="preserve">2</w:t>
            </w:r>
          </w:p>
        </w:tc>
        <w:tc>
          <w:tcPr>
            <w:tcW w:type="dxa" w:w="240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bCs/>
                <w:color w:val="1A1A2E"/>
                <w:sz w:val="20"/>
                <w:szCs w:val="20"/>
              </w:rPr>
              <w:t xml:space="preserve">Evaluación en 24h</w:t>
            </w:r>
          </w:p>
        </w:tc>
        <w:tc>
          <w:tcPr>
            <w:tcW w:type="dxa" w:w="540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Determinar alcance, datos comprometidos, causa raíz y personas afectadas.</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center"/>
            </w:pPr>
            <w:r>
              <w:rPr>
                <w:rFonts w:ascii="Arial" w:cs="Arial" w:eastAsia="Arial" w:hAnsi="Arial"/>
                <w:b/>
                <w:bCs/>
                <w:color w:val="1A1A2E"/>
                <w:sz w:val="20"/>
                <w:szCs w:val="20"/>
              </w:rPr>
              <w:t xml:space="preserve">3</w:t>
            </w:r>
          </w:p>
        </w:tc>
        <w:tc>
          <w:tcPr>
            <w:tcW w:type="dxa" w:w="240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bCs/>
                <w:color w:val="1A1A2E"/>
                <w:sz w:val="20"/>
                <w:szCs w:val="20"/>
              </w:rPr>
              <w:t xml:space="preserve">Notificación en 72h</w:t>
            </w:r>
          </w:p>
        </w:tc>
        <w:tc>
          <w:tcPr>
            <w:tcW w:type="dxa" w:w="540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Notificar a la SIC y a los titulares de datos afectados dentro de las 72 horas.</w:t>
            </w:r>
          </w:p>
        </w:tc>
      </w:tr>
      <w:tr>
        <w:tc>
          <w:tcPr>
            <w:tcW w:type="dxa" w:w="156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center"/>
            </w:pPr>
            <w:r>
              <w:rPr>
                <w:rFonts w:ascii="Arial" w:cs="Arial" w:eastAsia="Arial" w:hAnsi="Arial"/>
                <w:b/>
                <w:bCs/>
                <w:color w:val="1A1A2E"/>
                <w:sz w:val="20"/>
                <w:szCs w:val="20"/>
              </w:rPr>
              <w:t xml:space="preserve">4</w:t>
            </w:r>
          </w:p>
        </w:tc>
        <w:tc>
          <w:tcPr>
            <w:tcW w:type="dxa" w:w="240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bCs/>
                <w:color w:val="1A1A2E"/>
                <w:sz w:val="20"/>
                <w:szCs w:val="20"/>
              </w:rPr>
              <w:t xml:space="preserve">Remediación</w:t>
            </w:r>
          </w:p>
        </w:tc>
        <w:tc>
          <w:tcPr>
            <w:tcW w:type="dxa" w:w="5400"/>
            <w:tcBorders>
              <w:top w:val="single" w:color="CCCCCC" w:sz="1"/>
              <w:left w:val="single" w:color="CCCCCC" w:sz="1"/>
              <w:bottom w:val="single" w:color="CCCCCC" w:sz="1"/>
              <w:right w:val="single" w:color="CCCCCC" w:sz="1"/>
            </w:tcBorders>
            <w:shd w:fill="E8F0FE" w:val="clear"/>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Corregir la vulnerabilidad, actualizar controles y documentar las lecciones aprendidas.</w:t>
            </w:r>
          </w:p>
        </w:tc>
      </w:tr>
      <w:tr>
        <w:tc>
          <w:tcPr>
            <w:tcW w:type="dxa" w:w="156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center"/>
            </w:pPr>
            <w:r>
              <w:rPr>
                <w:rFonts w:ascii="Arial" w:cs="Arial" w:eastAsia="Arial" w:hAnsi="Arial"/>
                <w:b/>
                <w:bCs/>
                <w:color w:val="1A1A2E"/>
                <w:sz w:val="20"/>
                <w:szCs w:val="20"/>
              </w:rPr>
              <w:t xml:space="preserve">5</w:t>
            </w:r>
          </w:p>
        </w:tc>
        <w:tc>
          <w:tcPr>
            <w:tcW w:type="dxa" w:w="240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bCs/>
                <w:color w:val="1A1A2E"/>
                <w:sz w:val="20"/>
                <w:szCs w:val="20"/>
              </w:rPr>
              <w:t xml:space="preserve">Reporte público</w:t>
            </w:r>
          </w:p>
        </w:tc>
        <w:tc>
          <w:tcPr>
            <w:tcW w:type="dxa" w:w="540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Si el incidente afecta a más de 100 personas, publicar un reporte transparente de lo ocurrido y las medidas tomadas.</w:t>
            </w:r>
          </w:p>
        </w:tc>
      </w:tr>
    </w:tbl>
    <w:p>
      <w:r>
        <w:br w:type="page"/>
      </w:r>
    </w:p>
    <w:p>
      <w:pPr>
        <w:pStyle w:val="Heading1"/>
        <w:spacing w:after="200" w:before="360"/>
      </w:pPr>
      <w:r>
        <w:rPr>
          <w:rFonts w:ascii="Arial" w:cs="Arial" w:eastAsia="Arial" w:hAnsi="Arial"/>
          <w:b/>
          <w:bCs/>
          <w:color w:val="0F2B46"/>
          <w:sz w:val="36"/>
          <w:szCs w:val="36"/>
        </w:rPr>
        <w:t xml:space="preserve">11. REVISIÓN Y ACTUALIZACIÓN</w:t>
      </w:r>
    </w:p>
    <w:p>
      <w:pPr>
        <w:spacing w:after="120"/>
        <w:jc w:val="both"/>
      </w:pPr>
      <w:r>
        <w:rPr>
          <w:rFonts w:ascii="Arial" w:cs="Arial" w:eastAsia="Arial" w:hAnsi="Arial"/>
          <w:b w:val="false"/>
          <w:bCs w:val="false"/>
          <w:i w:val="false"/>
          <w:iCs w:val="false"/>
          <w:color w:val="1A1A2E"/>
          <w:sz w:val="22"/>
          <w:szCs w:val="22"/>
        </w:rPr>
        <w:t xml:space="preserve">Esta política se revisa y actualiza en los siguientes escenarios:</w:t>
      </w:r>
    </w:p>
    <w:p>
      <w:pPr>
        <w:spacing w:after="120"/>
        <w:jc w:val="both"/>
      </w:pPr>
      <w:r>
        <w:rPr>
          <w:rFonts w:ascii="Arial" w:cs="Arial" w:eastAsia="Arial" w:hAnsi="Arial"/>
          <w:b w:val="false"/>
          <w:bCs w:val="false"/>
          <w:i w:val="false"/>
          <w:iCs w:val="false"/>
          <w:color w:val="1A1A2E"/>
          <w:sz w:val="22"/>
          <w:szCs w:val="22"/>
        </w:rPr>
        <w:t xml:space="preserve">Revisión periódica: cada 6 meses, o cuando haya cambios legislativos relevantes en Colombia o en los términos de servicio de las plataformas de redes sociales.</w:t>
      </w:r>
    </w:p>
    <w:p>
      <w:pPr>
        <w:spacing w:after="120"/>
        <w:jc w:val="both"/>
      </w:pPr>
      <w:r>
        <w:rPr>
          <w:rFonts w:ascii="Arial" w:cs="Arial" w:eastAsia="Arial" w:hAnsi="Arial"/>
          <w:b w:val="false"/>
          <w:bCs w:val="false"/>
          <w:i w:val="false"/>
          <w:iCs w:val="false"/>
          <w:color w:val="1A1A2E"/>
          <w:sz w:val="22"/>
          <w:szCs w:val="22"/>
        </w:rPr>
        <w:t xml:space="preserve">Revisión por evento: inmediatamente después de cualquier incidente de datos, queja de un titular, o cambio significativo en la operación de NOE.</w:t>
      </w:r>
    </w:p>
    <w:p>
      <w:pPr>
        <w:spacing w:after="120"/>
        <w:jc w:val="both"/>
      </w:pPr>
      <w:r>
        <w:rPr>
          <w:rFonts w:ascii="Arial" w:cs="Arial" w:eastAsia="Arial" w:hAnsi="Arial"/>
          <w:b w:val="false"/>
          <w:bCs w:val="false"/>
          <w:i w:val="false"/>
          <w:iCs w:val="false"/>
          <w:color w:val="1A1A2E"/>
          <w:sz w:val="22"/>
          <w:szCs w:val="22"/>
        </w:rPr>
        <w:t xml:space="preserve">Versionamiento: cada versión se numera y archiva. La versión vigente siempre está disponible en el sitio web de NOE y en la carpeta del proyecto.</w:t>
      </w:r>
    </w:p>
    <w:p>
      <w:pPr>
        <w:spacing w:after="300"/>
      </w:pPr>
    </w:p>
    <w:p>
      <w:pPr>
        <w:pStyle w:val="Heading1"/>
        <w:spacing w:after="200" w:before="360"/>
      </w:pPr>
      <w:r>
        <w:rPr>
          <w:rFonts w:ascii="Arial" w:cs="Arial" w:eastAsia="Arial" w:hAnsi="Arial"/>
          <w:b/>
          <w:bCs/>
          <w:color w:val="0F2B46"/>
          <w:sz w:val="36"/>
          <w:szCs w:val="36"/>
        </w:rPr>
        <w:t xml:space="preserve">12. APROBACIÓN Y VIGENCIA</w:t>
      </w:r>
    </w:p>
    <w:p>
      <w:pPr>
        <w:spacing w:after="120"/>
        <w:jc w:val="both"/>
      </w:pPr>
      <w:r>
        <w:rPr>
          <w:rFonts w:ascii="Arial" w:cs="Arial" w:eastAsia="Arial" w:hAnsi="Arial"/>
          <w:b w:val="false"/>
          <w:bCs w:val="false"/>
          <w:i w:val="false"/>
          <w:iCs w:val="false"/>
          <w:color w:val="1A1A2E"/>
          <w:sz w:val="22"/>
          <w:szCs w:val="22"/>
        </w:rPr>
        <w:t xml:space="preserve">Este documento entra en vigencia a partir de su fecha de aprobación y aplica a todas las operaciones de NOE (Network Opinion Engine) desde el momento de la formalización de la empresa.</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left"/>
            </w:pPr>
            <w:r>
              <w:rPr>
                <w:rFonts w:ascii="Arial" w:cs="Arial" w:eastAsia="Arial" w:hAnsi="Arial"/>
                <w:b w:val="false"/>
                <w:bCs w:val="false"/>
                <w:color w:val="1A1A2E"/>
                <w:sz w:val="20"/>
                <w:szCs w:val="20"/>
              </w:rPr>
              <w:t xml:space="preserve"/>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center"/>
            </w:pPr>
            <w:r>
              <w:rPr>
                <w:rFonts w:ascii="Arial" w:cs="Arial" w:eastAsia="Arial" w:hAnsi="Arial"/>
                <w:b w:val="false"/>
                <w:bCs w:val="false"/>
                <w:color w:val="1A1A2E"/>
                <w:sz w:val="20"/>
                <w:szCs w:val="20"/>
              </w:rPr>
              <w:t xml:space="preserve">_______________________________</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center"/>
            </w:pPr>
            <w:r>
              <w:rPr>
                <w:rFonts w:ascii="Arial" w:cs="Arial" w:eastAsia="Arial" w:hAnsi="Arial"/>
                <w:b w:val="false"/>
                <w:bCs w:val="false"/>
                <w:color w:val="1A1A2E"/>
                <w:sz w:val="20"/>
                <w:szCs w:val="20"/>
              </w:rPr>
              <w:t xml:space="preserve">_______________________________</w:t>
            </w:r>
          </w:p>
        </w:tc>
      </w:tr>
      <w:tr>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center"/>
            </w:pPr>
            <w:r>
              <w:rPr>
                <w:rFonts w:ascii="Arial" w:cs="Arial" w:eastAsia="Arial" w:hAnsi="Arial"/>
                <w:b/>
                <w:bCs/>
                <w:color w:val="1A1A2E"/>
                <w:sz w:val="20"/>
                <w:szCs w:val="20"/>
              </w:rPr>
              <w:t xml:space="preserve">Jhon A. — CEO &amp; Fundador NOE</w:t>
            </w:r>
          </w:p>
        </w:tc>
        <w:tc>
          <w:tcPr>
            <w:tcW w:type="dxa" w:w="4680"/>
            <w:tcBorders>
              <w:top w:val="single" w:color="CCCCCC" w:sz="1"/>
              <w:left w:val="single" w:color="CCCCCC" w:sz="1"/>
              <w:bottom w:val="single" w:color="CCCCCC" w:sz="1"/>
              <w:right w:val="single" w:color="CCCCCC" w:sz="1"/>
            </w:tcBorders>
            <w:tcMar>
              <w:top w:type="dxa" w:w="60"/>
              <w:left w:type="dxa" w:w="120"/>
              <w:bottom w:type="dxa" w:w="60"/>
              <w:right w:type="dxa" w:w="120"/>
            </w:tcMar>
          </w:tcPr>
          <w:p>
            <w:pPr>
              <w:jc w:val="center"/>
            </w:pPr>
            <w:r>
              <w:rPr>
                <w:rFonts w:ascii="Arial" w:cs="Arial" w:eastAsia="Arial" w:hAnsi="Arial"/>
                <w:b/>
                <w:bCs/>
                <w:color w:val="1A1A2E"/>
                <w:sz w:val="20"/>
                <w:szCs w:val="20"/>
              </w:rPr>
              <w:t xml:space="preserve">Fecha de aprobación</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6"/>
        <w:szCs w:val="16"/>
      </w:rPr>
      <w:t xml:space="preserve">Página </w:t>
    </w:r>
    <w:r>
      <w:rPr>
        <w:rFonts w:ascii="Arial" w:cs="Arial" w:eastAsia="Arial" w:hAnsi="Arial"/>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1A6B8A"/>
        <w:sz w:val="16"/>
        <w:szCs w:val="16"/>
      </w:rPr>
      <w:t xml:space="preserve">NOE — Política de Datos y Ética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F2B46"/>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A6B8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2026-04-22T13:55:56.627Z</dcterms:created>
  <dcterms:modified xsi:type="dcterms:W3CDTF">2026-04-22T13:55:56.637Z</dcterms:modified>
</cp:coreProperties>
</file>

<file path=docProps/custom.xml><?xml version="1.0" encoding="utf-8"?>
<Properties xmlns="http://schemas.openxmlformats.org/officeDocument/2006/custom-properties" xmlns:vt="http://schemas.openxmlformats.org/officeDocument/2006/docPropsVTypes"/>
</file>